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0A" w:rsidRDefault="00A1690A" w:rsidP="006F19BF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LICENCIAMENTO DE LOTEAMENTOS</w:t>
      </w:r>
    </w:p>
    <w:p w:rsidR="00A1690A" w:rsidRPr="007D0EC9" w:rsidRDefault="00A1690A" w:rsidP="006F19BF">
      <w:pPr>
        <w:spacing w:after="120" w:line="240" w:lineRule="auto"/>
        <w:jc w:val="center"/>
        <w:rPr>
          <w:b/>
          <w:sz w:val="32"/>
        </w:rPr>
      </w:pPr>
      <w:r w:rsidRPr="007D0EC9">
        <w:rPr>
          <w:b/>
          <w:sz w:val="32"/>
        </w:rPr>
        <w:t>LICENÇA PRÉVIA</w:t>
      </w:r>
      <w:r>
        <w:rPr>
          <w:b/>
          <w:sz w:val="32"/>
        </w:rPr>
        <w:t xml:space="preserve"> – LP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Para o requerimento da Licença Prévia, além da documentação administrativa regularmente exigida, deverão ser apresentados os seguintes documentos técnicos: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>
        <w:t>Certidão com diretrizes urbanísticas</w:t>
      </w:r>
      <w:r w:rsidRPr="00314FE4">
        <w:t>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>Laudo do Instituto de Defesa Agropecuária e Florestal (IDAF), incluindo mapa georreferenciado, devidamente assinado pelo técnico responsável, com demarcação das áreas passíveis de supressão vegetal e de parcelamento do solo, bem como das Áreas de Preservação Permanente e da Reserva Legal;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>Descrição da concepção da infraestrutura básica a ser adotada para o empreendimento (abastecimento de água, esgotamento sanitário, drenagem pluvial, coleta e destinação de resíduos sólidos urbanos, energia elétrica e pavimentação do sistema viário);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>Anuência da concessionária local de saneamento sobre a viabilidade e a capacidade de atendimento do empreendimento quanto à operação e manutenção dos sistemas de abastecimento de água e de coleta, tratamento e destinação final do esgoto sanitário, com as diretrizes/especificações técnicas de projeto</w:t>
      </w:r>
      <w:r>
        <w:t xml:space="preserve">. </w:t>
      </w:r>
      <w:r w:rsidRPr="00314FE4">
        <w:t>Caso o sistema de esgotamento sanitário a ser projetado venha a ser interligado em sistema existente, a anuência deverá informar o ponto de interligação e a Estação de Tratamento de Esgoto que receberá os efluentes, com o respectivo número da licença ambiental ou do processo de licenciamento. A anuência deverá ainda informar expressamente que a concessionária aceitará a transferência dos sistemas para sua operação e manutenção, de acordo com o projeto a ser aprovado pela me</w:t>
      </w:r>
      <w:r>
        <w:t xml:space="preserve">sma; </w:t>
      </w:r>
      <w:r w:rsidRPr="00314FE4">
        <w:t>Comprovante de requerimento de outorga de direito de uso de recursos hídricos para lançamento e diluição de efluentes em corpo d’água, caso esteja prevista a implantação de sistema de tratamento de esgoto com lançamento de efluente em corpo hídrico superficial especificamente para o empreendimento;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>Comprovante de requerimento de outorga de direito de uso de recursos hídricos para captação em corpo d’água superficial, caso esteja prevista a implantação de sistema de abastecimento de água próprio para o empreendimento;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 w:rsidDel="00E61A00">
        <w:t>Carta da concessionária de energia elétrica quanto à viabilidade de fornecimento de energia elétrica para o empreendimento;</w:t>
      </w:r>
    </w:p>
    <w:p w:rsidR="00A1690A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  <w:sectPr w:rsidR="00A1690A" w:rsidSect="00EB376F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314FE4">
        <w:t>Projeto urbanístico georreferenciado do empreendimento, sobreposto a levantamento planialtimétrico, indicando sistema viário, subdivisão de quadras e lotes/frações ideais, áreas livres de uso público/comum, áreas de equipamentos comunitários, áreas não edificáveis, servidão, faixas de domínio de rodovias, e quadro de áreas contendo valores absolutos e porcentagens dos itens citados, em relação a área total do empreendimento;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lastRenderedPageBreak/>
        <w:t>M</w:t>
      </w:r>
      <w:r>
        <w:t>apas das</w:t>
      </w:r>
      <w:r w:rsidRPr="00314FE4">
        <w:t xml:space="preserve"> Restri</w:t>
      </w:r>
      <w:r>
        <w:t>ções Ambientais georreferenciadas e sobreposta</w:t>
      </w:r>
      <w:r w:rsidRPr="00314FE4">
        <w:t>s ao projeto urbanístico e ao levantamento planialtimétrico indicando: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 xml:space="preserve">Recursos hídricos existentes na área prevista para o empreendimento e no seu entorno, até </w:t>
      </w:r>
      <w:smartTag w:uri="urn:schemas-microsoft-com:office:smarttags" w:element="metricconverter">
        <w:smartTagPr>
          <w:attr w:name="ProductID" w:val="50 metros"/>
        </w:smartTagPr>
        <w:r w:rsidRPr="00314FE4">
          <w:t>50 metros, inclusive áreas alagadas</w:t>
        </w:r>
      </w:smartTag>
      <w:r w:rsidRPr="00314FE4">
        <w:t>;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>Áreas de preservação permanente;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>Áreas com vegetação em estágios médio e avançado de regeneração, conforme a Lei Estadual Nº 5.361/96 e suas alterações;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>Áreas de reserva legal averbadas;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>Unidades de conservação e/ou zonas de amortecimento;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>Áreas com declividade no intervalo de 30% a 45%, 45% a 100% e igual ou superior a 100%;</w:t>
      </w:r>
    </w:p>
    <w:p w:rsidR="00A1690A" w:rsidRPr="00314FE4" w:rsidRDefault="00A1690A" w:rsidP="006F19BF">
      <w:pPr>
        <w:numPr>
          <w:ilvl w:val="1"/>
          <w:numId w:val="4"/>
        </w:numPr>
        <w:spacing w:after="120" w:line="240" w:lineRule="auto"/>
        <w:ind w:left="0" w:firstLine="284"/>
        <w:jc w:val="both"/>
      </w:pPr>
      <w:r w:rsidRPr="00314FE4">
        <w:t>Áreas sujeitas a inundação.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>Estudo geotécnico que ateste a estabilidade e a segurança do terreno, caso apresente declividades entre 30% e 45%, descrevendo os possíveis riscos e as medidas mitigadoras que possibilitem a ocupação da área</w:t>
      </w:r>
      <w:r>
        <w:t xml:space="preserve">, </w:t>
      </w:r>
      <w:r w:rsidRPr="00314FE4">
        <w:t xml:space="preserve">observando as diretrizes da NBR ABNT 11682:1991; 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>Certidão expedida pela Secretaria Municipal responsável pelo Desenvolvimento Urbano com diretrizes urbanísticas específicas previstas na legislação municipal vigente para o parcelamento de áreas com declividades entre 30% e 45%, caso existentes na área total parcelada;</w:t>
      </w:r>
    </w:p>
    <w:p w:rsidR="00A1690A" w:rsidRPr="00314FE4" w:rsidRDefault="00A1690A" w:rsidP="006F19BF">
      <w:pPr>
        <w:numPr>
          <w:ilvl w:val="0"/>
          <w:numId w:val="1"/>
        </w:numPr>
        <w:spacing w:after="120" w:line="240" w:lineRule="auto"/>
        <w:ind w:left="0" w:firstLine="284"/>
        <w:jc w:val="both"/>
      </w:pPr>
      <w:r w:rsidRPr="00314FE4">
        <w:t xml:space="preserve">Anuência do Departamento Nacional de Infraestrutura e Transportes (DNIT) ou Departamento de Estradas e Rodagens (DER-ES) sobre a viabilidade do uso da faixa de domínio em caso de implantação à margem de rodovias e ferrovias federais ou estaduais, respectivamente; 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Todos os projetos e estudos apresentados deverão ser elaborados por profissional habilitado e acompanhados da respectiva Anotação de Responsabilidade Técnica (ART).</w:t>
      </w:r>
      <w:r>
        <w:t xml:space="preserve"> As plantas deverão ser elaboradas com escala mínima de 1:1000 (um para mil).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Somente será formalizado o requerimento de Licença Prévia mediante a apresentação d</w:t>
      </w:r>
      <w:r>
        <w:t>e todos os documentos listados</w:t>
      </w:r>
      <w:r w:rsidRPr="00314FE4">
        <w:t>.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 xml:space="preserve">Caberá ao empreendedor avaliar se o empreendimento se enquadra nas condições dos itens X a XV, providenciando a respectiva documentação. Caso o </w:t>
      </w:r>
      <w:r>
        <w:t>órgão licenciador</w:t>
      </w:r>
      <w:r w:rsidRPr="00314FE4">
        <w:t xml:space="preserve"> identifique a necessidade no decorrer da análise técnica, tais documentos serão solicitados como complementação por meio de ofício.</w:t>
      </w:r>
    </w:p>
    <w:p w:rsidR="00A1690A" w:rsidRPr="00314FE4" w:rsidRDefault="00A1690A" w:rsidP="006F19BF">
      <w:pPr>
        <w:spacing w:after="120" w:line="240" w:lineRule="auto"/>
        <w:jc w:val="both"/>
      </w:pPr>
    </w:p>
    <w:p w:rsidR="00A1690A" w:rsidRPr="007D0EC9" w:rsidRDefault="00A1690A" w:rsidP="006F19BF">
      <w:pPr>
        <w:spacing w:after="120" w:line="240" w:lineRule="auto"/>
        <w:jc w:val="center"/>
        <w:rPr>
          <w:b/>
          <w:sz w:val="32"/>
        </w:rPr>
      </w:pPr>
      <w:r w:rsidRPr="007D0EC9">
        <w:rPr>
          <w:b/>
          <w:sz w:val="32"/>
        </w:rPr>
        <w:t>LICENÇA DE INSTALAÇÃO</w:t>
      </w:r>
      <w:r>
        <w:rPr>
          <w:b/>
          <w:sz w:val="32"/>
        </w:rPr>
        <w:t xml:space="preserve"> – LI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Para o requerimento da Licença de Instalação, além da documentação administrativa regularmente exigida, deverão ser apresentados os seguintes documentos técnicos: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Projeto Urbanístico do loteamento contendo carimbo e assinatura de anuência municipal quanto às diretrizes urbanísticas. O projeto urbanístico anuído pelo município deverá estar em consonância com as restrições ambientais estabelecidas na Licença Prévia;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lastRenderedPageBreak/>
        <w:t>Projeto do sistema de abastecimento de água, indicando rede de distribuição, elevatórias e linhas de recalque, com memorial descritivo, com carimbo e assinatura de aprovação pela concessionária local;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Projeto do sistema de coleta, tratamento e disposição final de esgoto sanitário;</w:t>
      </w:r>
    </w:p>
    <w:p w:rsidR="00A1690A" w:rsidRPr="00314FE4" w:rsidRDefault="00A1690A" w:rsidP="006F19BF">
      <w:pPr>
        <w:numPr>
          <w:ilvl w:val="1"/>
          <w:numId w:val="2"/>
        </w:numPr>
        <w:spacing w:after="120" w:line="240" w:lineRule="auto"/>
        <w:ind w:left="0" w:firstLine="284"/>
        <w:jc w:val="both"/>
      </w:pPr>
      <w:r w:rsidRPr="00314FE4">
        <w:t>Para os empreendimentos que preveem sistema coletivo, o projeto deverá estar aprovado pela concessionária local;</w:t>
      </w:r>
    </w:p>
    <w:p w:rsidR="00A1690A" w:rsidRPr="00314FE4" w:rsidRDefault="00A1690A" w:rsidP="006F19BF">
      <w:pPr>
        <w:numPr>
          <w:ilvl w:val="1"/>
          <w:numId w:val="2"/>
        </w:numPr>
        <w:spacing w:after="120" w:line="240" w:lineRule="auto"/>
        <w:ind w:left="0" w:firstLine="284"/>
        <w:jc w:val="both"/>
      </w:pPr>
      <w:r w:rsidRPr="00314FE4">
        <w:t>Para os empreendimentos que preveem sistema individual de tratamento, com destinação do efluente tratado no solo, deverá ser atendido o disposto na NBR ABNT 13.969:1997, que limita ao número máximo de 10 sistemas individuais de tratamento por hectare da área total parcelável.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Laudo do terreno contendo ensaios de infiltração no solo para determinar a capacidade de absorção e a profundidade do lençol freático, caso a disposição final do efluente tratado seja feita no solo, segundo prescrito nas normas NBR 7.229/93, NBR 13.969/97 e NBR 6.484/01;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Portaria de outorga de direito de uso de recursos hídricos para lançamento e diluição de efluentes em corpo de água, caso esteja prevista a implantação de novo sistema de esgotamento sanitário com lançamento de efluente em corpo hídrico superficial especificamente para o empreendimento;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Projeto do sistema de drenagem pluvial da área do empreendimento, indicando pavimentação, galerias, coletores, sarjetas, lançamento final e dispositivos dissipadores de energia, dentre outros elementos relevantes, com memorial descritivo, e carimbo e assinatura de aprovação pelo município;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Projeto de terraplenagem com apresentação de balanço de volumes (corte e aterro) e a localização de área (s) de bota-fora e/ou de empréstimo, caso necessárias;</w:t>
      </w:r>
    </w:p>
    <w:p w:rsidR="00A1690A" w:rsidRPr="00314FE4" w:rsidRDefault="00A1690A" w:rsidP="006F19BF">
      <w:pPr>
        <w:numPr>
          <w:ilvl w:val="0"/>
          <w:numId w:val="2"/>
        </w:numPr>
        <w:spacing w:after="120" w:line="240" w:lineRule="auto"/>
        <w:ind w:left="0" w:firstLine="284"/>
        <w:jc w:val="both"/>
      </w:pPr>
      <w:r w:rsidRPr="00314FE4">
        <w:t>Anotação de Responsabilidade Técnica (ART) referente à elaboração de todos os projetos e estudos apresentados.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Somente será formalizado o requerimento de Licença de Instalação mediante a apresentação dos documentos listados nos itens I, II, III, VI, VII e VIII.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Para os casos de condomínios de edificações unifamiliares, se o sistema de esgotamento sanitário não apresentar interligação/interferência no sistema público, o projeto ficará dispensado de aprovação pela concessionária, salvo se exigida na anuência.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 xml:space="preserve">Caberá ao empreendedor avaliar se o empreendimento se enquadra nas condições dos itens IV e V, providenciando a respectiva documentação. Caso o </w:t>
      </w:r>
      <w:r>
        <w:t xml:space="preserve">órgão licenciador </w:t>
      </w:r>
      <w:r w:rsidRPr="00314FE4">
        <w:t>identifique a necessidade no decorrer da análise técnica, tais documentos serão solicitados como complementação por meio de ofício.</w:t>
      </w:r>
    </w:p>
    <w:p w:rsidR="00A1690A" w:rsidRPr="00314FE4" w:rsidRDefault="00A1690A" w:rsidP="006F19BF">
      <w:pPr>
        <w:spacing w:after="120" w:line="240" w:lineRule="auto"/>
        <w:jc w:val="both"/>
        <w:rPr>
          <w:b/>
        </w:rPr>
      </w:pPr>
    </w:p>
    <w:p w:rsidR="00A1690A" w:rsidRPr="007D0EC9" w:rsidRDefault="00A1690A" w:rsidP="006F19BF">
      <w:pPr>
        <w:spacing w:after="120" w:line="240" w:lineRule="auto"/>
        <w:jc w:val="center"/>
        <w:rPr>
          <w:b/>
          <w:sz w:val="32"/>
        </w:rPr>
      </w:pPr>
      <w:r w:rsidRPr="007D0EC9">
        <w:rPr>
          <w:b/>
          <w:sz w:val="32"/>
        </w:rPr>
        <w:t>LICENÇA DE OPERAÇÃO</w:t>
      </w:r>
      <w:r>
        <w:rPr>
          <w:b/>
          <w:sz w:val="32"/>
        </w:rPr>
        <w:t xml:space="preserve"> – LO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Para o requerimento da Licença de Operação deverão ser apresentados os seguintes documentos:</w:t>
      </w:r>
    </w:p>
    <w:p w:rsidR="00A1690A" w:rsidRPr="00314FE4" w:rsidRDefault="00A1690A" w:rsidP="006F19BF">
      <w:pPr>
        <w:numPr>
          <w:ilvl w:val="0"/>
          <w:numId w:val="3"/>
        </w:numPr>
        <w:spacing w:after="120" w:line="240" w:lineRule="auto"/>
        <w:ind w:left="0" w:firstLine="284"/>
        <w:jc w:val="both"/>
      </w:pPr>
      <w:r w:rsidRPr="00314FE4">
        <w:t>Termo de Conclusão de Obras para os loteamentos para fins urbanos ou Certidão de Habite-se para os Condomínios de Edificações, emitidos pela Prefeitura Municipal;</w:t>
      </w:r>
    </w:p>
    <w:p w:rsidR="00A1690A" w:rsidRPr="00314FE4" w:rsidRDefault="00A1690A" w:rsidP="006F19BF">
      <w:pPr>
        <w:numPr>
          <w:ilvl w:val="0"/>
          <w:numId w:val="3"/>
        </w:numPr>
        <w:spacing w:after="120" w:line="240" w:lineRule="auto"/>
        <w:ind w:left="0" w:firstLine="284"/>
        <w:jc w:val="both"/>
      </w:pPr>
      <w:r w:rsidRPr="00314FE4">
        <w:lastRenderedPageBreak/>
        <w:t>Contrato de transferência dos sistemas de abastecimento de água e esgotamento sanitário para a concessionária local, para loteamentos para fins urbanos;</w:t>
      </w:r>
    </w:p>
    <w:p w:rsidR="00A1690A" w:rsidRPr="00314FE4" w:rsidRDefault="00A1690A" w:rsidP="006F19BF">
      <w:pPr>
        <w:numPr>
          <w:ilvl w:val="0"/>
          <w:numId w:val="3"/>
        </w:numPr>
        <w:spacing w:after="120" w:line="240" w:lineRule="auto"/>
        <w:ind w:left="0" w:firstLine="284"/>
        <w:jc w:val="both"/>
      </w:pPr>
      <w:r w:rsidRPr="00314FE4">
        <w:t>Cópia do requerimento de licença ambiental referente à ETE quando inserida no licenciamento ambiental do empreendimento.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Após o término da validade da Licença de Operação e a comprovação do cumprimento de todas as condicionantes, o processo seguirá os trâmites previstos para arquivamento, realizando vistoria técnica quando necessário, não cabendo sua renovação, salvo nos casos em que não houver sido cumprida todas as condicionantes fixadas.</w:t>
      </w:r>
    </w:p>
    <w:p w:rsidR="00A1690A" w:rsidRPr="00314FE4" w:rsidRDefault="00A1690A" w:rsidP="006F19BF">
      <w:pPr>
        <w:spacing w:after="120" w:line="240" w:lineRule="auto"/>
        <w:jc w:val="both"/>
        <w:rPr>
          <w:b/>
        </w:rPr>
      </w:pPr>
    </w:p>
    <w:p w:rsidR="00A1690A" w:rsidRPr="00401566" w:rsidRDefault="00A1690A" w:rsidP="006F19BF">
      <w:pPr>
        <w:spacing w:after="120" w:line="240" w:lineRule="auto"/>
        <w:jc w:val="center"/>
        <w:rPr>
          <w:sz w:val="32"/>
        </w:rPr>
      </w:pPr>
      <w:r w:rsidRPr="00401566">
        <w:rPr>
          <w:b/>
          <w:sz w:val="32"/>
        </w:rPr>
        <w:t>LICENÇA AMBIENTAL DE REGULARIZAÇÃO</w:t>
      </w:r>
      <w:r>
        <w:rPr>
          <w:b/>
          <w:sz w:val="32"/>
        </w:rPr>
        <w:t xml:space="preserve"> – LAR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>Para o requerimento de LAR, além da documentação administrativa regularmente exigida, deverão ser apresentados os documentos técnicos correspondentes às etapas de licença prévia</w:t>
      </w:r>
      <w:bookmarkStart w:id="0" w:name="_GoBack"/>
      <w:bookmarkEnd w:id="0"/>
      <w:r w:rsidRPr="00314FE4">
        <w:t>;</w:t>
      </w:r>
    </w:p>
    <w:p w:rsidR="00A1690A" w:rsidRPr="00314FE4" w:rsidRDefault="00A1690A" w:rsidP="006F19BF">
      <w:pPr>
        <w:spacing w:after="120" w:line="240" w:lineRule="auto"/>
        <w:jc w:val="both"/>
      </w:pPr>
      <w:r w:rsidRPr="00314FE4">
        <w:t xml:space="preserve">Os documentos listados </w:t>
      </w:r>
      <w:r>
        <w:t>acima</w:t>
      </w:r>
      <w:r w:rsidRPr="00314FE4">
        <w:t xml:space="preserve"> para efeito de requerimento de LAR servirão apenas como base para o</w:t>
      </w:r>
      <w:r w:rsidRPr="00314FE4">
        <w:rPr>
          <w:b/>
        </w:rPr>
        <w:t xml:space="preserve"> início </w:t>
      </w:r>
      <w:r w:rsidRPr="00314FE4">
        <w:t>da análise, podendo ser solicitadas as devidas complementações após a realização de vistoria técnica e antes da emissão da licença.</w:t>
      </w:r>
    </w:p>
    <w:p w:rsidR="00163511" w:rsidRDefault="00A1690A" w:rsidP="006F19BF">
      <w:pPr>
        <w:spacing w:after="120" w:line="240" w:lineRule="auto"/>
        <w:jc w:val="both"/>
      </w:pPr>
      <w:r w:rsidRPr="00314FE4">
        <w:t xml:space="preserve">O requerimento de LAR não implica necessariamente a emissão desta licença, sendo facultada ao </w:t>
      </w:r>
      <w:r>
        <w:t>órgão licenciador</w:t>
      </w:r>
      <w:r w:rsidRPr="00314FE4">
        <w:t xml:space="preserve"> a decisão quanto às licenças a serem emitidas de acordo com a fase do empreendimento (LP, LI, LO ou LAR).</w:t>
      </w:r>
    </w:p>
    <w:sectPr w:rsidR="00163511" w:rsidSect="00EB376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4E" w:rsidRDefault="005C664E" w:rsidP="00A1690A">
      <w:pPr>
        <w:spacing w:after="0" w:line="240" w:lineRule="auto"/>
      </w:pPr>
      <w:r>
        <w:separator/>
      </w:r>
    </w:p>
  </w:endnote>
  <w:endnote w:type="continuationSeparator" w:id="0">
    <w:p w:rsidR="005C664E" w:rsidRDefault="005C664E" w:rsidP="00A1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4E" w:rsidRDefault="005C664E" w:rsidP="00A1690A">
      <w:pPr>
        <w:spacing w:after="0" w:line="240" w:lineRule="auto"/>
      </w:pPr>
      <w:r>
        <w:separator/>
      </w:r>
    </w:p>
  </w:footnote>
  <w:footnote w:type="continuationSeparator" w:id="0">
    <w:p w:rsidR="005C664E" w:rsidRDefault="005C664E" w:rsidP="00A1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0A" w:rsidRDefault="00A1690A" w:rsidP="00A1690A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0" allowOverlap="1" wp14:anchorId="66D842BE" wp14:editId="118559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19" name="Imagem 19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90A" w:rsidRDefault="00A1690A" w:rsidP="00A1690A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43B9F6BF" wp14:editId="503BE5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0" name="Imagem 20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4DEC52C" wp14:editId="113EF2A4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90A" w:rsidRDefault="00A1690A" w:rsidP="00A1690A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A1690A" w:rsidRDefault="00A1690A" w:rsidP="00A1690A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A1690A" w:rsidRDefault="00A1690A" w:rsidP="00A1690A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A1690A" w:rsidRDefault="00A1690A" w:rsidP="00A1690A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A1690A" w:rsidRDefault="00A1690A" w:rsidP="00A1690A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A1690A" w:rsidRDefault="00A1690A" w:rsidP="00A1690A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A1690A" w:rsidRDefault="00A1690A" w:rsidP="00A1690A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A1690A" w:rsidRDefault="00A1690A" w:rsidP="00A1690A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A1690A" w:rsidRDefault="00A1690A" w:rsidP="00A1690A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A1690A" w:rsidRDefault="00A1690A" w:rsidP="00A1690A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 Centro Rio Bananal-ES.</w:t>
    </w:r>
  </w:p>
  <w:p w:rsidR="00A1690A" w:rsidRDefault="00A1690A" w:rsidP="00A1690A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A1690A" w:rsidRPr="00A1690A" w:rsidRDefault="00A1690A" w:rsidP="00A1690A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0" allowOverlap="1" wp14:anchorId="36EF4642" wp14:editId="146733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2" name="Imagem 22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6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52.85pt;height:339.65pt;z-index:-251650048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  <w:r w:rsidRPr="00A1690A">
      <w:rPr>
        <w:rFonts w:eastAsia="Calibri" w:cs="Times New Roman"/>
        <w:noProof/>
        <w:lang w:eastAsia="pt-BR"/>
      </w:rPr>
      <w:drawing>
        <wp:anchor distT="0" distB="0" distL="114300" distR="114300" simplePos="0" relativeHeight="251661312" behindDoc="1" locked="0" layoutInCell="0" allowOverlap="1" wp14:anchorId="7BC4D8A1" wp14:editId="49B789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3" name="Imagem 23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90A">
      <w:rPr>
        <w:rFonts w:eastAsia="Calibri" w:cs="Times New Roman"/>
        <w:noProof/>
        <w:lang w:eastAsia="pt-BR"/>
      </w:rPr>
      <w:drawing>
        <wp:anchor distT="0" distB="0" distL="114300" distR="114300" simplePos="0" relativeHeight="251663360" behindDoc="1" locked="0" layoutInCell="0" allowOverlap="1" wp14:anchorId="212AA9EA" wp14:editId="7CC542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4" name="Imagem 24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90A">
      <w:rPr>
        <w:rFonts w:eastAsia="Calibri" w:cs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2083BED2" wp14:editId="793C4F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5" name="Imagem 25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64E">
      <w:rPr>
        <w:rFonts w:eastAsia="Calibri" w:cs="Times New Roman"/>
      </w:rPr>
      <w:pict>
        <v:shape id="WordPictureWatermark20685516" o:spid="_x0000_s2051" type="#_x0000_t75" style="position:absolute;left:0;text-align:left;margin-left:0;margin-top:0;width:452.85pt;height:339.65pt;z-index:-251658240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0A" w:rsidRPr="00A1690A" w:rsidRDefault="00A1690A" w:rsidP="00A1690A">
    <w:pPr>
      <w:pStyle w:val="Cabealho"/>
      <w:tabs>
        <w:tab w:val="left" w:pos="3105"/>
      </w:tabs>
      <w:ind w:right="-568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7696" behindDoc="1" locked="0" layoutInCell="0" allowOverlap="1" wp14:anchorId="3B941B4E" wp14:editId="3BE85F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6" name="Imagem 26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9744" behindDoc="1" locked="0" layoutInCell="0" allowOverlap="1" wp14:anchorId="5C9D9A6A" wp14:editId="2539B5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7" name="Imagem 27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0" allowOverlap="1" wp14:anchorId="2F4AFDFF" wp14:editId="6AFEDA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9" name="Imagem 29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6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2.85pt;height:339.65pt;z-index:-251639808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  <w:r w:rsidRPr="00A1690A">
      <w:rPr>
        <w:rFonts w:eastAsia="Calibri" w:cs="Times New Roman"/>
        <w:noProof/>
        <w:lang w:eastAsia="pt-BR"/>
      </w:rPr>
      <w:drawing>
        <wp:anchor distT="0" distB="0" distL="114300" distR="114300" simplePos="0" relativeHeight="251673600" behindDoc="1" locked="0" layoutInCell="0" allowOverlap="1" wp14:anchorId="4E09C4CB" wp14:editId="67CF6D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30" name="Imagem 30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90A">
      <w:rPr>
        <w:rFonts w:eastAsia="Calibri" w:cs="Times New Roman"/>
        <w:noProof/>
        <w:lang w:eastAsia="pt-BR"/>
      </w:rPr>
      <w:drawing>
        <wp:anchor distT="0" distB="0" distL="114300" distR="114300" simplePos="0" relativeHeight="251674624" behindDoc="1" locked="0" layoutInCell="0" allowOverlap="1" wp14:anchorId="1BA0D660" wp14:editId="044CEB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31" name="Imagem 31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90A">
      <w:rPr>
        <w:rFonts w:eastAsia="Calibri" w:cs="Times New Roman"/>
        <w:noProof/>
        <w:lang w:eastAsia="pt-BR"/>
      </w:rPr>
      <w:drawing>
        <wp:anchor distT="0" distB="0" distL="114300" distR="114300" simplePos="0" relativeHeight="251672576" behindDoc="1" locked="0" layoutInCell="0" allowOverlap="1" wp14:anchorId="15F66A47" wp14:editId="2957F3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32" name="Imagem 32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64E">
      <w:rPr>
        <w:rFonts w:eastAsia="Calibri" w:cs="Times New Roman"/>
      </w:rPr>
      <w:pict>
        <v:shape id="_x0000_s2055" type="#_x0000_t75" style="position:absolute;margin-left:0;margin-top:0;width:452.85pt;height:339.65pt;z-index:-251644928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6A9"/>
    <w:multiLevelType w:val="hybridMultilevel"/>
    <w:tmpl w:val="E56E6DF0"/>
    <w:lvl w:ilvl="0" w:tplc="0D54D146">
      <w:start w:val="1"/>
      <w:numFmt w:val="upperRoman"/>
      <w:lvlText w:val="%1.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AE4"/>
    <w:multiLevelType w:val="hybridMultilevel"/>
    <w:tmpl w:val="BE988162"/>
    <w:lvl w:ilvl="0" w:tplc="444E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2202"/>
    <w:multiLevelType w:val="hybridMultilevel"/>
    <w:tmpl w:val="BDB07DEE"/>
    <w:lvl w:ilvl="0" w:tplc="0D54D146">
      <w:start w:val="1"/>
      <w:numFmt w:val="upperRoman"/>
      <w:lvlText w:val="%1."/>
      <w:lvlJc w:val="left"/>
      <w:pPr>
        <w:ind w:left="1004" w:hanging="720"/>
      </w:pPr>
      <w:rPr>
        <w:rFonts w:ascii="Verdana" w:eastAsia="Times New Roman" w:hAnsi="Verdana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863"/>
    <w:multiLevelType w:val="hybridMultilevel"/>
    <w:tmpl w:val="817023B0"/>
    <w:lvl w:ilvl="0" w:tplc="444E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7"/>
    <w:rsid w:val="00163511"/>
    <w:rsid w:val="005C664E"/>
    <w:rsid w:val="006F19BF"/>
    <w:rsid w:val="00A1690A"/>
    <w:rsid w:val="00BF2F50"/>
    <w:rsid w:val="00C75003"/>
    <w:rsid w:val="00D96A57"/>
    <w:rsid w:val="00E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4:docId w14:val="4E2DFD57"/>
  <w15:chartTrackingRefBased/>
  <w15:docId w15:val="{F7149BBE-9CFC-499E-9904-9BDA103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0A"/>
  </w:style>
  <w:style w:type="paragraph" w:styleId="Rodap">
    <w:name w:val="footer"/>
    <w:basedOn w:val="Normal"/>
    <w:link w:val="RodapChar"/>
    <w:uiPriority w:val="99"/>
    <w:unhideWhenUsed/>
    <w:rsid w:val="00A1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1436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5</cp:revision>
  <dcterms:created xsi:type="dcterms:W3CDTF">2017-06-13T11:28:00Z</dcterms:created>
  <dcterms:modified xsi:type="dcterms:W3CDTF">2017-07-11T16:05:00Z</dcterms:modified>
</cp:coreProperties>
</file>